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03" w:rsidRPr="008B5391" w:rsidRDefault="00080D03" w:rsidP="00080D03">
      <w:pPr>
        <w:spacing w:after="0" w:line="256" w:lineRule="auto"/>
        <w:jc w:val="both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  <w:r w:rsidRPr="008B5391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>Na temelju članka 51. Zakona o predškolskom odgoju i obrazovanju (NN 10/97, 107/07,</w:t>
      </w:r>
    </w:p>
    <w:p w:rsidR="00080D03" w:rsidRPr="008B5391" w:rsidRDefault="00080D03" w:rsidP="00080D03">
      <w:pPr>
        <w:spacing w:after="0" w:line="256" w:lineRule="auto"/>
        <w:jc w:val="both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  <w:r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>94/13,</w:t>
      </w:r>
      <w:r w:rsidRPr="008B5391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 xml:space="preserve"> 98/19, 57/22 i 101/23), Zakona o plaćama u javnim službama, Uredbe o nazivima</w:t>
      </w:r>
    </w:p>
    <w:p w:rsidR="00080D03" w:rsidRPr="008B5391" w:rsidRDefault="00080D03" w:rsidP="00080D03">
      <w:pPr>
        <w:spacing w:after="0" w:line="256" w:lineRule="auto"/>
        <w:jc w:val="both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  <w:r w:rsidRPr="008B5391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>radnih mjesta, uvjetima za raspored i koeficijentima za obračun plaće u javnim službama (NN</w:t>
      </w: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 xml:space="preserve"> </w:t>
      </w:r>
      <w:r w:rsidRPr="008B5391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>22/24) i članka 29. Statuta Dječjeg vrtića Cvit Sv. Filip i Jakov, Općinsko vijeće Općine Sv.</w:t>
      </w: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 xml:space="preserve"> </w:t>
      </w:r>
      <w:r w:rsidRPr="008B5391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>Filip i Jakov na svojoj</w:t>
      </w: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 xml:space="preserve"> --</w:t>
      </w:r>
      <w:r w:rsidRPr="008B5391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 xml:space="preserve"> sjednici održanoj dana</w:t>
      </w: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 xml:space="preserve"> --. --. 2025.  godine donosi</w:t>
      </w:r>
    </w:p>
    <w:p w:rsidR="00080D03" w:rsidRPr="008B5391" w:rsidRDefault="00080D03" w:rsidP="00080D03">
      <w:pPr>
        <w:spacing w:after="160" w:line="256" w:lineRule="auto"/>
        <w:jc w:val="both"/>
        <w:rPr>
          <w:rFonts w:ascii="Cambria" w:eastAsia="Calibri" w:hAnsi="Cambria" w:cs="Times New Roman"/>
          <w:b/>
          <w:bCs/>
          <w:kern w:val="2"/>
          <w:sz w:val="24"/>
          <w:szCs w:val="24"/>
          <w14:ligatures w14:val="standardContextual"/>
        </w:rPr>
      </w:pPr>
    </w:p>
    <w:p w:rsidR="00080D03" w:rsidRDefault="00080D03" w:rsidP="00080D03">
      <w:pPr>
        <w:spacing w:after="160" w:line="360" w:lineRule="auto"/>
        <w:jc w:val="center"/>
        <w:rPr>
          <w:rFonts w:ascii="Cambria" w:eastAsia="Calibri" w:hAnsi="Cambria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Cambria" w:eastAsia="Calibri" w:hAnsi="Cambria" w:cs="Times New Roman"/>
          <w:b/>
          <w:bCs/>
          <w:kern w:val="2"/>
          <w:sz w:val="24"/>
          <w:szCs w:val="24"/>
          <w14:ligatures w14:val="standardContextual"/>
        </w:rPr>
        <w:t>Odluku o izmjeni i dopuni</w:t>
      </w:r>
      <w:r w:rsidRPr="008B5391">
        <w:rPr>
          <w:rFonts w:ascii="Cambria" w:eastAsia="Calibri" w:hAnsi="Cambria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mbria" w:eastAsia="Calibri" w:hAnsi="Cambria" w:cs="Times New Roman"/>
          <w:b/>
          <w:bCs/>
          <w:kern w:val="2"/>
          <w:sz w:val="24"/>
          <w:szCs w:val="24"/>
          <w14:ligatures w14:val="standardContextual"/>
        </w:rPr>
        <w:t>O</w:t>
      </w:r>
      <w:r w:rsidRPr="00344035">
        <w:rPr>
          <w:rFonts w:ascii="Cambria" w:eastAsia="Calibri" w:hAnsi="Cambria" w:cs="Times New Roman"/>
          <w:b/>
          <w:bCs/>
          <w:kern w:val="2"/>
          <w:sz w:val="24"/>
          <w:szCs w:val="24"/>
          <w14:ligatures w14:val="standardContextual"/>
        </w:rPr>
        <w:t>dluke</w:t>
      </w:r>
      <w:r w:rsidRPr="008B5391">
        <w:rPr>
          <w:rFonts w:ascii="Cambria" w:eastAsia="Calibri" w:hAnsi="Cambria" w:cs="Times New Roman"/>
          <w:b/>
          <w:bCs/>
          <w:kern w:val="2"/>
          <w:sz w:val="24"/>
          <w:szCs w:val="24"/>
          <w14:ligatures w14:val="standardContextual"/>
        </w:rPr>
        <w:t xml:space="preserve"> o plaćama, naknadama plaće i drugim materijalnim pravima</w:t>
      </w:r>
      <w:r w:rsidRPr="00344035">
        <w:rPr>
          <w:rFonts w:ascii="Cambria" w:eastAsia="Calibri" w:hAnsi="Cambria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8B5391">
        <w:rPr>
          <w:rFonts w:ascii="Cambria" w:eastAsia="Calibri" w:hAnsi="Cambria" w:cs="Times New Roman"/>
          <w:b/>
          <w:bCs/>
          <w:kern w:val="2"/>
          <w:sz w:val="24"/>
          <w:szCs w:val="24"/>
          <w14:ligatures w14:val="standardContextual"/>
        </w:rPr>
        <w:t>radnika zaposlenih u Dječjem vrtiću Cvit Sv. Filip i Jakov</w:t>
      </w:r>
    </w:p>
    <w:p w:rsidR="00921514" w:rsidRPr="008B5391" w:rsidRDefault="00921514" w:rsidP="00080D03">
      <w:pPr>
        <w:spacing w:after="160" w:line="360" w:lineRule="auto"/>
        <w:jc w:val="center"/>
        <w:rPr>
          <w:rFonts w:ascii="Cambria" w:eastAsia="Calibri" w:hAnsi="Cambria" w:cs="Times New Roman"/>
          <w:b/>
          <w:bCs/>
          <w:kern w:val="2"/>
          <w:sz w:val="24"/>
          <w:szCs w:val="24"/>
          <w14:ligatures w14:val="standardContextual"/>
        </w:rPr>
      </w:pPr>
    </w:p>
    <w:p w:rsidR="00080D03" w:rsidRPr="008B5391" w:rsidRDefault="00080D03" w:rsidP="00080D0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hr-HR"/>
        </w:rPr>
      </w:pPr>
      <w:r w:rsidRPr="008B5391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hr-HR"/>
        </w:rPr>
        <w:t>Članak 1.</w:t>
      </w:r>
    </w:p>
    <w:p w:rsidR="00080D03" w:rsidRPr="008B5391" w:rsidRDefault="00080D03" w:rsidP="00080D03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222222"/>
          <w:sz w:val="24"/>
          <w:szCs w:val="24"/>
          <w:lang w:eastAsia="hr-HR"/>
        </w:rPr>
      </w:pPr>
    </w:p>
    <w:p w:rsidR="00080D03" w:rsidRPr="005C072F" w:rsidRDefault="00080D03" w:rsidP="00080D03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5C072F">
        <w:rPr>
          <w:rFonts w:ascii="Cambria" w:eastAsia="Times New Roman" w:hAnsi="Cambria" w:cs="Times New Roman"/>
          <w:sz w:val="24"/>
          <w:szCs w:val="24"/>
          <w:lang w:eastAsia="hr-HR"/>
        </w:rPr>
        <w:t>U Odluci o plaćama, naknadama plaća i drugim materijalnim pravima radnika zaposlenih u Dječjem vrtiću Cvit Sv. Filip i Jakov (Službeni glasnik Općine Sveti Filip i Jakov broj 13/23, 16/24) mijenja se i dopunjuje članak 5. na način da se u tabelarnom  prikazu iza radnog mjesta:</w:t>
      </w:r>
    </w:p>
    <w:p w:rsidR="00080D03" w:rsidRPr="005C072F" w:rsidRDefault="00080D03" w:rsidP="00080D03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tbl>
      <w:tblPr>
        <w:tblStyle w:val="TableGrid"/>
        <w:tblpPr w:leftFromText="180" w:rightFromText="180" w:vertAnchor="text" w:tblpY="1"/>
        <w:tblOverlap w:val="never"/>
        <w:tblW w:w="6516" w:type="dxa"/>
        <w:tblLook w:val="04A0" w:firstRow="1" w:lastRow="0" w:firstColumn="1" w:lastColumn="0" w:noHBand="0" w:noVBand="1"/>
      </w:tblPr>
      <w:tblGrid>
        <w:gridCol w:w="4248"/>
        <w:gridCol w:w="2268"/>
      </w:tblGrid>
      <w:tr w:rsidR="005C072F" w:rsidRPr="005C072F" w:rsidTr="00F85BA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03" w:rsidRPr="005C072F" w:rsidRDefault="00080D03" w:rsidP="00F85BA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C072F">
              <w:rPr>
                <w:rFonts w:ascii="Cambria" w:hAnsi="Cambria"/>
                <w:b/>
                <w:bCs/>
                <w:sz w:val="24"/>
                <w:szCs w:val="24"/>
              </w:rPr>
              <w:t>Radno mjesto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03" w:rsidRPr="005C072F" w:rsidRDefault="00080D03" w:rsidP="00F85BA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C072F">
              <w:rPr>
                <w:rFonts w:ascii="Cambria" w:hAnsi="Cambria"/>
                <w:b/>
                <w:bCs/>
                <w:sz w:val="24"/>
                <w:szCs w:val="24"/>
              </w:rPr>
              <w:t>Osnovni koeficijent</w:t>
            </w:r>
          </w:p>
        </w:tc>
      </w:tr>
    </w:tbl>
    <w:p w:rsidR="00080D03" w:rsidRPr="005C072F" w:rsidRDefault="00080D03" w:rsidP="00080D03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tbl>
      <w:tblPr>
        <w:tblStyle w:val="TableGrid"/>
        <w:tblpPr w:leftFromText="180" w:rightFromText="180" w:vertAnchor="text" w:tblpY="1"/>
        <w:tblOverlap w:val="never"/>
        <w:tblW w:w="6516" w:type="dxa"/>
        <w:tblLook w:val="04A0" w:firstRow="1" w:lastRow="0" w:firstColumn="1" w:lastColumn="0" w:noHBand="0" w:noVBand="1"/>
      </w:tblPr>
      <w:tblGrid>
        <w:gridCol w:w="4248"/>
        <w:gridCol w:w="2268"/>
      </w:tblGrid>
      <w:tr w:rsidR="005C072F" w:rsidRPr="005C072F" w:rsidTr="00F85BA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03" w:rsidRPr="005C072F" w:rsidRDefault="00080D03" w:rsidP="00F85BA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C072F">
              <w:rPr>
                <w:rFonts w:ascii="Cambria" w:hAnsi="Cambria"/>
                <w:b/>
                <w:bCs/>
                <w:sz w:val="24"/>
                <w:szCs w:val="24"/>
              </w:rPr>
              <w:t>Odgojitelj VSS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03" w:rsidRPr="005C072F" w:rsidRDefault="00080D03" w:rsidP="00F85BA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C072F">
              <w:rPr>
                <w:rFonts w:ascii="Cambria" w:hAnsi="Cambria"/>
                <w:b/>
                <w:bCs/>
                <w:sz w:val="24"/>
                <w:szCs w:val="24"/>
              </w:rPr>
              <w:t>2, 01</w:t>
            </w:r>
          </w:p>
        </w:tc>
      </w:tr>
    </w:tbl>
    <w:p w:rsidR="00080D03" w:rsidRPr="005C072F" w:rsidRDefault="00080D03" w:rsidP="00080D03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080D03" w:rsidRPr="005C072F" w:rsidRDefault="00080D03" w:rsidP="00080D03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080D03" w:rsidRPr="005C072F" w:rsidRDefault="00080D03" w:rsidP="00080D03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5C072F">
        <w:rPr>
          <w:rFonts w:ascii="Cambria" w:eastAsia="Times New Roman" w:hAnsi="Cambria" w:cs="Times New Roman"/>
          <w:sz w:val="24"/>
          <w:szCs w:val="24"/>
          <w:lang w:eastAsia="hr-HR"/>
        </w:rPr>
        <w:t>a prije radnog mjesta:</w:t>
      </w:r>
    </w:p>
    <w:tbl>
      <w:tblPr>
        <w:tblStyle w:val="TableGrid"/>
        <w:tblpPr w:leftFromText="180" w:rightFromText="180" w:vertAnchor="text" w:tblpY="1"/>
        <w:tblOverlap w:val="never"/>
        <w:tblW w:w="6516" w:type="dxa"/>
        <w:tblLook w:val="04A0" w:firstRow="1" w:lastRow="0" w:firstColumn="1" w:lastColumn="0" w:noHBand="0" w:noVBand="1"/>
      </w:tblPr>
      <w:tblGrid>
        <w:gridCol w:w="4248"/>
        <w:gridCol w:w="2268"/>
      </w:tblGrid>
      <w:tr w:rsidR="005C072F" w:rsidRPr="005C072F" w:rsidTr="00F85BA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03" w:rsidRPr="005C072F" w:rsidRDefault="00080D03" w:rsidP="00F85BA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C072F">
              <w:rPr>
                <w:rFonts w:ascii="Cambria" w:hAnsi="Cambria"/>
                <w:b/>
                <w:bCs/>
                <w:sz w:val="24"/>
                <w:szCs w:val="24"/>
              </w:rPr>
              <w:t>Medicinska sestra VŠS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03" w:rsidRPr="005C072F" w:rsidRDefault="005C072F" w:rsidP="00F85BA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1,8</w:t>
            </w:r>
            <w:r w:rsidR="00080D03" w:rsidRPr="005C072F">
              <w:rPr>
                <w:rFonts w:ascii="Cambria" w:hAnsi="Cambria"/>
                <w:b/>
                <w:bCs/>
                <w:sz w:val="24"/>
                <w:szCs w:val="24"/>
              </w:rPr>
              <w:t>0</w:t>
            </w:r>
          </w:p>
        </w:tc>
      </w:tr>
    </w:tbl>
    <w:p w:rsidR="00080D03" w:rsidRPr="005C072F" w:rsidRDefault="00080D03" w:rsidP="00080D03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080D03" w:rsidRPr="005C072F" w:rsidRDefault="00080D03" w:rsidP="00080D03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080D03" w:rsidRPr="005C072F" w:rsidRDefault="005C072F" w:rsidP="00080D03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d</w:t>
      </w:r>
      <w:r w:rsidR="00080D03" w:rsidRPr="005C072F">
        <w:rPr>
          <w:rFonts w:ascii="Cambria" w:eastAsia="Times New Roman" w:hAnsi="Cambria" w:cs="Times New Roman"/>
          <w:sz w:val="24"/>
          <w:szCs w:val="24"/>
          <w:lang w:eastAsia="hr-HR"/>
        </w:rPr>
        <w:t xml:space="preserve">odaje radno mjesto s pripadajućim koeficijentom : </w:t>
      </w:r>
    </w:p>
    <w:p w:rsidR="00080D03" w:rsidRPr="005C072F" w:rsidRDefault="00080D03" w:rsidP="00080D03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tbl>
      <w:tblPr>
        <w:tblpPr w:leftFromText="189" w:rightFromText="189" w:bottomFromText="160" w:vertAnchor="text"/>
        <w:tblW w:w="65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268"/>
      </w:tblGrid>
      <w:tr w:rsidR="005C072F" w:rsidRPr="005C072F" w:rsidTr="00F85BA8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03" w:rsidRPr="005C072F" w:rsidRDefault="00080D03" w:rsidP="00F85BA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hr-HR"/>
              </w:rPr>
            </w:pPr>
            <w:r w:rsidRPr="005C072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hr-HR"/>
              </w:rPr>
              <w:t xml:space="preserve">Pomoćni radnik za njegu, skrb i pratnju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03" w:rsidRPr="005C072F" w:rsidRDefault="00080D03" w:rsidP="00F85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hr-HR"/>
              </w:rPr>
            </w:pPr>
            <w:r w:rsidRPr="005C072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hr-HR"/>
              </w:rPr>
              <w:t>1,70</w:t>
            </w:r>
          </w:p>
        </w:tc>
      </w:tr>
    </w:tbl>
    <w:p w:rsidR="00080D03" w:rsidRPr="005C072F" w:rsidRDefault="00080D03" w:rsidP="00080D03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</w:pPr>
    </w:p>
    <w:p w:rsidR="00080D03" w:rsidRPr="008B5391" w:rsidRDefault="00080D03" w:rsidP="00080D03">
      <w:pPr>
        <w:spacing w:after="160" w:line="360" w:lineRule="auto"/>
        <w:jc w:val="both"/>
        <w:rPr>
          <w:rFonts w:ascii="Cambria" w:eastAsia="Calibri" w:hAnsi="Cambria" w:cs="Times New Roman"/>
          <w:b/>
          <w:bCs/>
          <w:color w:val="FF0000"/>
          <w:kern w:val="2"/>
          <w:sz w:val="24"/>
          <w:szCs w:val="24"/>
          <w14:ligatures w14:val="standardContextual"/>
        </w:rPr>
      </w:pPr>
    </w:p>
    <w:p w:rsidR="00080D03" w:rsidRPr="00344035" w:rsidRDefault="00080D03" w:rsidP="00080D03">
      <w:pPr>
        <w:spacing w:after="160" w:line="256" w:lineRule="auto"/>
        <w:jc w:val="center"/>
        <w:rPr>
          <w:rFonts w:ascii="Cambria" w:eastAsia="Calibri" w:hAnsi="Cambria" w:cs="Times New Roman"/>
          <w:b/>
          <w:kern w:val="2"/>
          <w:sz w:val="24"/>
          <w:szCs w:val="24"/>
          <w14:ligatures w14:val="standardContextual"/>
        </w:rPr>
      </w:pPr>
      <w:r w:rsidRPr="00344035">
        <w:rPr>
          <w:rFonts w:ascii="Cambria" w:eastAsia="Calibri" w:hAnsi="Cambria" w:cs="Times New Roman"/>
          <w:b/>
          <w:kern w:val="2"/>
          <w:sz w:val="24"/>
          <w:szCs w:val="24"/>
          <w14:ligatures w14:val="standardContextual"/>
        </w:rPr>
        <w:t xml:space="preserve">Članak 2. </w:t>
      </w:r>
    </w:p>
    <w:p w:rsidR="00080D03" w:rsidRPr="00344035" w:rsidRDefault="00080D03" w:rsidP="00080D03">
      <w:pPr>
        <w:spacing w:after="160" w:line="360" w:lineRule="auto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>U preostalom dijelu Odluka o plaćama, naknadama plaće i drugim materijalnim pravima radnika zaposlenih u Dječjem vrtiću Cvit Sv. Filip i Jakov</w:t>
      </w:r>
      <w:r w:rsidRPr="00344035">
        <w:rPr>
          <w:rFonts w:ascii="Cambria" w:hAnsi="Cambria"/>
          <w:sz w:val="24"/>
          <w:szCs w:val="24"/>
        </w:rPr>
        <w:t xml:space="preserve"> (</w:t>
      </w: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 xml:space="preserve">Službeni glasnik Općine Sveti Filip i Jakov broj 13/23, 16/24) ostaje nepromijenjena. </w:t>
      </w:r>
    </w:p>
    <w:p w:rsidR="00921514" w:rsidRDefault="00921514" w:rsidP="00080D03">
      <w:pPr>
        <w:spacing w:after="160" w:line="360" w:lineRule="auto"/>
        <w:jc w:val="center"/>
        <w:rPr>
          <w:rFonts w:ascii="Cambria" w:eastAsia="Calibri" w:hAnsi="Cambria" w:cs="Times New Roman"/>
          <w:b/>
          <w:kern w:val="2"/>
          <w:sz w:val="24"/>
          <w:szCs w:val="24"/>
          <w14:ligatures w14:val="standardContextual"/>
        </w:rPr>
      </w:pPr>
    </w:p>
    <w:p w:rsidR="00080D03" w:rsidRPr="005C072F" w:rsidRDefault="00080D03" w:rsidP="00080D03">
      <w:pPr>
        <w:spacing w:after="160" w:line="360" w:lineRule="auto"/>
        <w:jc w:val="center"/>
        <w:rPr>
          <w:rFonts w:ascii="Cambria" w:eastAsia="Calibri" w:hAnsi="Cambria" w:cs="Times New Roman"/>
          <w:b/>
          <w:kern w:val="2"/>
          <w:sz w:val="24"/>
          <w:szCs w:val="24"/>
          <w14:ligatures w14:val="standardContextual"/>
        </w:rPr>
      </w:pPr>
      <w:r w:rsidRPr="005C072F">
        <w:rPr>
          <w:rFonts w:ascii="Cambria" w:eastAsia="Calibri" w:hAnsi="Cambria" w:cs="Times New Roman"/>
          <w:b/>
          <w:kern w:val="2"/>
          <w:sz w:val="24"/>
          <w:szCs w:val="24"/>
          <w14:ligatures w14:val="standardContextual"/>
        </w:rPr>
        <w:lastRenderedPageBreak/>
        <w:t>Članak 3.</w:t>
      </w:r>
    </w:p>
    <w:p w:rsidR="00080D03" w:rsidRPr="005C072F" w:rsidRDefault="00080D03" w:rsidP="00080D03">
      <w:pPr>
        <w:spacing w:after="160" w:line="360" w:lineRule="auto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  <w:r w:rsidRPr="005C072F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 xml:space="preserve">Ova Odluka stupa na snagu </w:t>
      </w:r>
      <w:r w:rsidR="005C072F" w:rsidRPr="005C072F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 xml:space="preserve">prvi dan </w:t>
      </w:r>
      <w:r w:rsidRPr="005C072F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>od dana objave u Službenom glas</w:t>
      </w:r>
      <w:r w:rsidR="005C072F" w:rsidRPr="005C072F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 xml:space="preserve">niku Općine Sveti Filip i Jakov </w:t>
      </w:r>
      <w:r w:rsidR="00C6035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>.</w:t>
      </w:r>
    </w:p>
    <w:p w:rsidR="00080D03" w:rsidRPr="00344035" w:rsidRDefault="00080D03" w:rsidP="00080D03">
      <w:pPr>
        <w:spacing w:after="160" w:line="360" w:lineRule="auto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</w:p>
    <w:p w:rsidR="00080D03" w:rsidRPr="00344035" w:rsidRDefault="005C072F" w:rsidP="00080D03">
      <w:pPr>
        <w:spacing w:after="160" w:line="360" w:lineRule="auto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  <w:r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 xml:space="preserve">KLASA: </w:t>
      </w:r>
      <w:r w:rsidR="00C60355" w:rsidRPr="00C6035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>601-01/25-</w:t>
      </w:r>
    </w:p>
    <w:p w:rsidR="00080D03" w:rsidRPr="00344035" w:rsidRDefault="00080D03" w:rsidP="00080D03">
      <w:pPr>
        <w:spacing w:after="160" w:line="360" w:lineRule="auto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 xml:space="preserve">URBROJ: </w:t>
      </w:r>
    </w:p>
    <w:p w:rsidR="00080D03" w:rsidRPr="00344035" w:rsidRDefault="00080D03" w:rsidP="00080D03">
      <w:pPr>
        <w:spacing w:after="160" w:line="360" w:lineRule="auto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 xml:space="preserve">Sv. Filip i Jakov,--,-- 2025. godine. </w:t>
      </w:r>
    </w:p>
    <w:p w:rsidR="00080D03" w:rsidRPr="00344035" w:rsidRDefault="00080D03" w:rsidP="00080D03">
      <w:pPr>
        <w:spacing w:after="160" w:line="360" w:lineRule="auto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</w:p>
    <w:p w:rsidR="00080D03" w:rsidRPr="00344035" w:rsidRDefault="00080D03" w:rsidP="00080D03">
      <w:pPr>
        <w:spacing w:after="160" w:line="360" w:lineRule="auto"/>
        <w:jc w:val="center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 xml:space="preserve">OPĆINSKO VIJEĆE OPĆINE SVETI FILIP I JAKOV </w:t>
      </w:r>
      <w:bookmarkStart w:id="0" w:name="_GoBack"/>
      <w:bookmarkEnd w:id="0"/>
    </w:p>
    <w:p w:rsidR="00080D03" w:rsidRPr="00344035" w:rsidRDefault="00080D03" w:rsidP="00080D03">
      <w:pPr>
        <w:spacing w:after="160" w:line="360" w:lineRule="auto"/>
        <w:jc w:val="center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ab/>
      </w: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ab/>
      </w: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ab/>
      </w: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ab/>
      </w: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ab/>
      </w:r>
    </w:p>
    <w:p w:rsidR="00080D03" w:rsidRPr="00344035" w:rsidRDefault="00080D03" w:rsidP="00080D03">
      <w:pPr>
        <w:spacing w:after="160" w:line="360" w:lineRule="auto"/>
        <w:jc w:val="center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ab/>
      </w: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ab/>
      </w: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ab/>
      </w: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ab/>
      </w: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ab/>
      </w: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ab/>
      </w: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ab/>
      </w: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ab/>
        <w:t xml:space="preserve">Predsjednik Općinskog vijeća </w:t>
      </w:r>
    </w:p>
    <w:p w:rsidR="00080D03" w:rsidRPr="00344035" w:rsidRDefault="00080D03" w:rsidP="00080D03">
      <w:pPr>
        <w:spacing w:after="160" w:line="360" w:lineRule="auto"/>
        <w:ind w:left="4956" w:firstLine="708"/>
        <w:jc w:val="center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  <w:r w:rsidRPr="00344035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 xml:space="preserve">Igor Pedisić </w:t>
      </w:r>
    </w:p>
    <w:p w:rsidR="00080D03" w:rsidRPr="00344035" w:rsidRDefault="00080D03" w:rsidP="00080D03">
      <w:pPr>
        <w:rPr>
          <w:rFonts w:ascii="Cambria" w:hAnsi="Cambria"/>
          <w:sz w:val="24"/>
          <w:szCs w:val="24"/>
        </w:rPr>
      </w:pPr>
    </w:p>
    <w:p w:rsidR="00080D03" w:rsidRDefault="00080D03" w:rsidP="00344035">
      <w:pPr>
        <w:spacing w:after="0" w:line="256" w:lineRule="auto"/>
        <w:jc w:val="both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</w:p>
    <w:p w:rsidR="00080D03" w:rsidRDefault="00080D03" w:rsidP="00B23B3F">
      <w:pPr>
        <w:spacing w:after="0" w:line="256" w:lineRule="auto"/>
        <w:jc w:val="both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</w:p>
    <w:p w:rsidR="00080D03" w:rsidRDefault="00080D03" w:rsidP="00344035">
      <w:pPr>
        <w:spacing w:after="0" w:line="256" w:lineRule="auto"/>
        <w:jc w:val="both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</w:p>
    <w:p w:rsidR="00080D03" w:rsidRDefault="00080D03" w:rsidP="00344035">
      <w:pPr>
        <w:spacing w:after="0" w:line="256" w:lineRule="auto"/>
        <w:jc w:val="both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</w:p>
    <w:p w:rsidR="00080D03" w:rsidRDefault="00080D03" w:rsidP="00344035">
      <w:pPr>
        <w:spacing w:after="0" w:line="256" w:lineRule="auto"/>
        <w:jc w:val="both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</w:p>
    <w:sectPr w:rsidR="00080D03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CA" w:rsidRDefault="00170ACA" w:rsidP="00080D03">
      <w:pPr>
        <w:spacing w:after="0" w:line="240" w:lineRule="auto"/>
      </w:pPr>
      <w:r>
        <w:separator/>
      </w:r>
    </w:p>
  </w:endnote>
  <w:endnote w:type="continuationSeparator" w:id="0">
    <w:p w:rsidR="00170ACA" w:rsidRDefault="00170ACA" w:rsidP="0008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CA" w:rsidRDefault="00170ACA" w:rsidP="00080D03">
      <w:pPr>
        <w:spacing w:after="0" w:line="240" w:lineRule="auto"/>
      </w:pPr>
      <w:r>
        <w:separator/>
      </w:r>
    </w:p>
  </w:footnote>
  <w:footnote w:type="continuationSeparator" w:id="0">
    <w:p w:rsidR="00170ACA" w:rsidRDefault="00170ACA" w:rsidP="0008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03" w:rsidRDefault="00080D03" w:rsidP="00080D03">
    <w:pPr>
      <w:pStyle w:val="Header"/>
      <w:jc w:val="center"/>
    </w:pPr>
    <w:r>
      <w:t>PRIJEDLOG ODLUKE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42268"/>
    <w:multiLevelType w:val="hybridMultilevel"/>
    <w:tmpl w:val="48BE1F90"/>
    <w:lvl w:ilvl="0" w:tplc="C2560D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D6"/>
    <w:rsid w:val="00080D03"/>
    <w:rsid w:val="00170ACA"/>
    <w:rsid w:val="00344035"/>
    <w:rsid w:val="00345B0F"/>
    <w:rsid w:val="003C7443"/>
    <w:rsid w:val="005C072F"/>
    <w:rsid w:val="006B172C"/>
    <w:rsid w:val="008B5391"/>
    <w:rsid w:val="00921514"/>
    <w:rsid w:val="009435D7"/>
    <w:rsid w:val="00A004D6"/>
    <w:rsid w:val="00AF0CA8"/>
    <w:rsid w:val="00B23B3F"/>
    <w:rsid w:val="00B26F9D"/>
    <w:rsid w:val="00C60355"/>
    <w:rsid w:val="00E9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391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D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03"/>
  </w:style>
  <w:style w:type="paragraph" w:styleId="Footer">
    <w:name w:val="footer"/>
    <w:basedOn w:val="Normal"/>
    <w:link w:val="FooterChar"/>
    <w:uiPriority w:val="99"/>
    <w:unhideWhenUsed/>
    <w:rsid w:val="00080D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391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D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03"/>
  </w:style>
  <w:style w:type="paragraph" w:styleId="Footer">
    <w:name w:val="footer"/>
    <w:basedOn w:val="Normal"/>
    <w:link w:val="FooterChar"/>
    <w:uiPriority w:val="99"/>
    <w:unhideWhenUsed/>
    <w:rsid w:val="00080D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2025-02-12T07:22:00Z</cp:lastPrinted>
  <dcterms:created xsi:type="dcterms:W3CDTF">2025-02-12T08:59:00Z</dcterms:created>
  <dcterms:modified xsi:type="dcterms:W3CDTF">2025-02-12T09:08:00Z</dcterms:modified>
</cp:coreProperties>
</file>